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3814" w14:textId="015806ED" w:rsidR="0004443D" w:rsidRDefault="0004443D" w:rsidP="0004443D">
      <w:pPr>
        <w:spacing w:line="360" w:lineRule="auto"/>
        <w:jc w:val="both"/>
      </w:pPr>
      <w:r w:rsidRPr="0004443D">
        <w:t xml:space="preserve">Cheruiyot D, </w:t>
      </w:r>
      <w:proofErr w:type="spellStart"/>
      <w:r w:rsidRPr="0004443D">
        <w:t>Rakewa</w:t>
      </w:r>
      <w:proofErr w:type="spellEnd"/>
      <w:r w:rsidRPr="0004443D">
        <w:t xml:space="preserve"> S, Thuku F, Koech L, Wamalwa E. Conservative management of traumatic pneumocephalus and primary reconstruction following a self-inflicted midfacial gunshot wound: A case report. </w:t>
      </w:r>
      <w:proofErr w:type="spellStart"/>
      <w:r w:rsidRPr="0004443D">
        <w:t>Edorium</w:t>
      </w:r>
      <w:proofErr w:type="spellEnd"/>
      <w:r w:rsidRPr="0004443D">
        <w:t xml:space="preserve"> J Dent 2026;12(2):1–8.</w:t>
      </w:r>
    </w:p>
    <w:sectPr w:rsidR="00044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3D"/>
    <w:rsid w:val="0004443D"/>
    <w:rsid w:val="0013709F"/>
    <w:rsid w:val="0015459F"/>
    <w:rsid w:val="001B6D82"/>
    <w:rsid w:val="001E419D"/>
    <w:rsid w:val="004F6E26"/>
    <w:rsid w:val="00603117"/>
    <w:rsid w:val="00A8117B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39A3"/>
  <w15:chartTrackingRefBased/>
  <w15:docId w15:val="{E67FE683-98C4-4A80-A7FE-3C7E74A2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4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4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4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4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4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4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4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4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4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4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4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4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4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4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2026-07-09T13:09:00Z</dcterms:created>
  <dcterms:modified xsi:type="dcterms:W3CDTF">2026-07-09T13:10:00Z</dcterms:modified>
</cp:coreProperties>
</file>